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190</w:t>
      </w:r>
    </w:p>
    <w:p>
      <w:r>
        <w:t>Bundesgericht (BGE), 1973-12-28, IT</w:t>
      </w:r>
    </w:p>
    <w:p>
      <w:r>
        <w:rPr>
          <w:b/>
        </w:rPr>
        <w:t xml:space="preserve">Quelle: </w:t>
      </w:r>
      <w:r>
        <w:t>https://mcp.opencaselaw.ch/entscheid/bge_99 IV 190</w:t>
      </w:r>
    </w:p>
    <w:p>
      <w:r>
        <w:t>FR: ATF 99 IV 190</w:t>
      </w:r>
    </w:p>
    <w:p>
      <w:r>
        <w:t>IT: DTF 99 IV 190</w:t>
      </w:r>
    </w:p>
    <w:p>
      <w:pPr>
        <w:pStyle w:val="Heading2"/>
      </w:pPr>
      <w:r>
        <w:t>Regeste</w:t>
      </w:r>
    </w:p>
    <w:p>
      <w:r>
        <w:t>Regeste Bei Prüfung der Frage, ob einem Fahrzeugführer, der in angetrunkenem Zustand einen Unfall verursacht hat, der bedingte Strafaufschub gewährt werden könne, sind die Tatumstände sowie die persönlichen Verhältnisse des Täters zu würdigen. Ein Gewohnheitstrinker bietet wenig Gewähr für dauerndes Wohlverhalten und verdient deshalb nicht, in den Genuss des bedingten Strafaufschubes zu gelangen.</w:t>
      </w:r>
    </w:p>
    <w:p>
      <w:pPr>
        <w:pStyle w:val="Heading2"/>
      </w:pPr>
      <w:r>
        <w:t>Erwägungen</w:t>
      </w:r>
    </w:p>
    <w:p>
      <w:r>
        <w:rPr>
          <w:b/>
        </w:rPr>
        <w:t>E. 1</w:t>
      </w:r>
    </w:p>
    <w:p>
      <w:r>
        <w:t>Secondo il ricorrente, la regola di rifiutare la sospensione della pena al conducente in stato di ebbrietà consentirebbe una sola eccezione: quella dello autore che si è determinato a prendere il volante dopo aver già subito l'influsso dell'alcool. Questa opinione è erronea. Anche prima che fosse attenuata, la giurisprudenza del Tribunale federale non è mai stata così rigida: ravvisava nel caso indicato dal ricorrente solo una delle circostanze speciali dalle quali si può dedurre che la circolazione in stato di ebbrietà è stata causata da una situazione particolare e da cui si può conseguire che l'autore si asterrà da ulteriori infrazioni (RU 80 IV 13). Secondo la più recente giurisprudenza, deve essere tenuto conto non solo delle circostanze inerenti alla trasgressione di cui si tratta, ma pure dei precedenti del prevenuto, che consentano di determinarne la personalità e di formulare una prognosi globale (RU 95 IV 52 e 57).</w:t>
      </w:r>
    </w:p>
    <w:p>
      <w:r>
        <w:rPr>
          <w:b/>
        </w:rPr>
        <w:t>E. 2</w:t>
      </w:r>
    </w:p>
    <w:p>
      <w:r>
        <w:t>In concreto, le circostanze del reato non sono favorevoli al condannato. L'assorbimento di bevande alcooliche è avvenuto in tre volte, ad ogni sosta, conseguendo un'alcoolemia del 2,62 ed ha causato la morte di una persona. Invece, senza essere irreprensibili, i precedenti del prevenuto non sono in genere spregevoli. Le iscrizioni risultanti nel registro basilese (1949, multa di fr. 20.- per circolazione in bicicletta in stato di ebbrietà; 1955, ammonizione per abuso di bevande alcooliche; 1957, multa per parcheggio vietato; 1959, multa per perturbamento colposo della circolazione) sono remote. D'altronde, risulta che X. gode di una buona reputazione. Ad ogni modo, questi dati avrebbero nondimeno permesso ai giudici BGE 99 IV 190 S. 192 cantonali di stabilire la prognosi globale favorevole senza violare l'art. 41 num. 1 CP. Tuttavia, il tribunale cantonale non poteva disattendere che X. - secondo la sua stessa ammissione - beveva giornalmente una quantità di bevande alcooliche corrispondente a quella assorbita il giorno dell'infortunio. L'ebbrietà che ha causato la morte dell'amico non costituisce pertanto un fatto unico, dovuto ad accidentale inconsideratezza, ma un'abitudine che non consente una prognosi favorevole. Disattendendo questa circostanza determinante, i giudici cantonali hanno oltrepassato il loro potere di apprezzamento. Dispositiv Il Tribunale federale pronuncia: Il ricorso è accolto, la sentenza impugnata è annullata e gli atti sono rimandati all'autorità cantonale per nuovo giudizio che neghi la sospensione condizionale della pena.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